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Payment Bond Claim Checklist for Public Projects (Free)</w:t>
      </w:r>
    </w:p>
    <w:p>
      <w:pPr>
        <w:spacing w:after="240"/>
      </w:pPr>
      <w:r>
        <w:rPr>
          <w:color w:val="666666"/>
          <w:sz w:val="18"/>
          <w:szCs w:val="18"/>
        </w:rPr>
        <w:t xml:space="preserve">LienWarden · https://lienwarden.com/templates/bond-claim-checklist.html · 2026-09-07</w:t>
      </w:r>
    </w:p>
    <w:p>
      <w:pPr>
        <w:spacing w:after="120"/>
      </w:pPr>
      <w:r>
        <w:rPr>
          <w:b w:val="false"/>
          <w:bCs w:val="false"/>
        </w:rPr>
        <w:t xml:space="preserve">You generally cannot record a mechanics lien against public property — a courthouse, a highway, a school. Instead, the prime contractor on most public projects above a threshold must post a </w:t>
      </w:r>
      <w:r>
        <w:rPr>
          <w:b/>
          <w:bCs/>
        </w:rPr>
        <w:t xml:space="preserve">payment bond</w:t>
      </w:r>
      <w:r>
        <w:rPr>
          <w:b w:val="false"/>
          <w:bCs w:val="false"/>
        </w:rPr>
        <w:t xml:space="preserve">, and unpaid subcontractors and suppliers collect from the surety. Federal projects run under the Miller Act (40 U.S.C. §§ 3131–3134); each state has its own "Little Miller Act" with its own thresholds and windows. The rights are strong, but they hinge on a written notice sent within a fixed number of days after you last furnished. This checklist walks the process. Free printable Word version below — just tell us where to send it.</w:t>
      </w:r>
    </w:p>
    <w:p>
      <w:pPr>
        <w:pStyle w:val="Heading2"/>
        <w:spacing w:after="120" w:before="280"/>
      </w:pPr>
      <w:r>
        <w:t xml:space="preserve">Step 1 — Identify the project type and the bond</w:t>
      </w:r>
    </w:p>
    <w:p>
      <w:pPr>
        <w:spacing w:after="90"/>
        <w:ind w:left="360" w:hanging="360"/>
      </w:pPr>
      <w:r>
        <w:t xml:space="preserve">☐  </w:t>
      </w:r>
      <w:r>
        <w:rPr>
          <w:b/>
          <w:bCs/>
        </w:rPr>
        <w:t xml:space="preserve">Federal project</w:t>
      </w:r>
      <w:r>
        <w:rPr>
          <w:b w:val="false"/>
          <w:bCs w:val="false"/>
        </w:rPr>
        <w:t xml:space="preserve"> (agency of the U.S. government is the owner) → Miller Act. Payment bonds are required on federal construction contracts above the statutory threshold (currently $100,000, though the FAR sets alternative protections between $35,000 and that amount).</w:t>
      </w:r>
    </w:p>
    <w:p>
      <w:pPr>
        <w:spacing w:after="90"/>
        <w:ind w:left="360" w:hanging="360"/>
      </w:pPr>
      <w:r>
        <w:t xml:space="preserve">☐  </w:t>
      </w:r>
      <w:r>
        <w:rPr>
          <w:b/>
          <w:bCs/>
        </w:rPr>
        <w:t xml:space="preserve">State, county, municipal, school district or authority project</w:t>
      </w:r>
      <w:r>
        <w:rPr>
          <w:b w:val="false"/>
          <w:bCs w:val="false"/>
        </w:rPr>
        <w:t xml:space="preserve"> → that state's Little Miller Act; thresholds, notice windows and who may claim vary. Check the free 50-state lookup for your state and record the rules here: ____________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Request a </w:t>
      </w:r>
      <w:r>
        <w:rPr>
          <w:b/>
          <w:bCs/>
        </w:rPr>
        <w:t xml:space="preserve">copy of the payment bond</w:t>
      </w:r>
      <w:r>
        <w:rPr>
          <w:b w:val="false"/>
          <w:bCs w:val="false"/>
        </w:rPr>
        <w:t xml:space="preserve"> now, not when the dispute starts: on federal projects the contracting agency must furnish a certified copy on request to anyone who has supplied labour or materials and submits an affidavit stating they have not been paid (40 U.S.C. § 3133(a)); on state projects the awarding agency or the prime usually must provide it. Record: surety name, bond number, penal sum, prime contractor.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Confirm whether your state also requires a </w:t>
      </w:r>
      <w:r>
        <w:rPr>
          <w:b/>
          <w:bCs/>
        </w:rPr>
        <w:t xml:space="preserve">preliminary notice</w:t>
      </w:r>
      <w:r>
        <w:rPr>
          <w:b w:val="false"/>
          <w:bCs w:val="false"/>
        </w:rPr>
        <w:t xml:space="preserve"> on public works (some do, to the prime or the agency) and whether you sent it.</w:t>
      </w:r>
    </w:p>
    <w:p>
      <w:pPr>
        <w:pStyle w:val="Heading2"/>
        <w:spacing w:after="120" w:before="280"/>
      </w:pPr>
      <w:r>
        <w:t xml:space="preserve">Step 2 — Work out your tier (it decides whether you must send a notice)</w:t>
      </w:r>
    </w:p>
    <w:p>
      <w:pPr>
        <w:spacing w:after="90"/>
        <w:ind w:left="360" w:hanging="360"/>
      </w:pPr>
      <w:r>
        <w:t xml:space="preserve">☐  </w:t>
      </w:r>
      <w:r>
        <w:rPr>
          <w:b/>
          <w:bCs/>
        </w:rPr>
        <w:t xml:space="preserve">First tier</w:t>
      </w:r>
      <w:r>
        <w:rPr>
          <w:b w:val="false"/>
          <w:bCs w:val="false"/>
        </w:rPr>
        <w:t xml:space="preserve"> — you contracted directly with the prime contractor. Under the Miller Act, no pre-suit notice is required (you may still send one; it usually gets you paid).</w:t>
      </w:r>
    </w:p>
    <w:p>
      <w:pPr>
        <w:spacing w:after="90"/>
        <w:ind w:left="360" w:hanging="360"/>
      </w:pPr>
      <w:r>
        <w:t xml:space="preserve">☐  </w:t>
      </w:r>
      <w:r>
        <w:rPr>
          <w:b/>
          <w:bCs/>
        </w:rPr>
        <w:t xml:space="preserve">Second tier</w:t>
      </w:r>
      <w:r>
        <w:rPr>
          <w:b w:val="false"/>
          <w:bCs w:val="false"/>
        </w:rPr>
        <w:t xml:space="preserve"> — you contracted with a first-tier subcontractor (as a sub-sub or a supplier to a sub). Under the Miller Act you </w:t>
      </w:r>
      <w:r>
        <w:rPr>
          <w:b/>
          <w:bCs/>
        </w:rPr>
        <w:t xml:space="preserve">must give written notice to the prime contractor within 90 days</w:t>
      </w:r>
      <w:r>
        <w:rPr>
          <w:b w:val="false"/>
          <w:bCs w:val="false"/>
        </w:rPr>
        <w:t xml:space="preserve"> after the last day you furnished labour or material for which the claim is made.</w:t>
      </w:r>
    </w:p>
    <w:p>
      <w:pPr>
        <w:spacing w:after="90"/>
        <w:ind w:left="360" w:hanging="360"/>
      </w:pPr>
      <w:r>
        <w:t xml:space="preserve">☐  </w:t>
      </w:r>
      <w:r>
        <w:rPr>
          <w:b/>
          <w:bCs/>
        </w:rPr>
        <w:t xml:space="preserve">Third tier and below</w:t>
      </w:r>
      <w:r>
        <w:rPr>
          <w:b w:val="false"/>
          <w:bCs w:val="false"/>
        </w:rPr>
        <w:t xml:space="preserve"> (supplier to a sub-sub, etc.) — generally </w:t>
      </w:r>
      <w:r>
        <w:rPr>
          <w:b/>
          <w:bCs/>
        </w:rPr>
        <w:t xml:space="preserve">not protected</w:t>
      </w:r>
      <w:r>
        <w:rPr>
          <w:b w:val="false"/>
          <w:bCs w:val="false"/>
        </w:rPr>
        <w:t xml:space="preserve"> under the Miller Act. State acts differ; some protect deeper tiers.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Record your tier and the party you contracted with: ____________</w:t>
      </w:r>
    </w:p>
    <w:p>
      <w:pPr>
        <w:pStyle w:val="Heading2"/>
        <w:spacing w:after="120" w:before="280"/>
      </w:pPr>
      <w:r>
        <w:t xml:space="preserve">Step 3 — The dates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Date of first furnishing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Date of </w:t>
            </w:r>
            <w:r>
              <w:rPr>
                <w:b/>
                <w:bCs/>
              </w:rPr>
              <w:t xml:space="preserve">last</w:t>
            </w:r>
            <w:r>
              <w:rPr>
                <w:b w:val="false"/>
                <w:bCs w:val="false"/>
              </w:rPr>
              <w:t xml:space="preserve"> furnishing of labour or material (not the date of your last invoice, and not punch-list or warranty work)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90-day notice deadline (federal, second tier) or state notice deadline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Earliest date suit may be filed (federal: 90 days after last furnishing)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  <w:tr>
        <w:tc>
          <w:tcPr>
            <w:tcW w:type="pct" w:w="50%"/>
          </w:tcPr>
          <w:p>
            <w:r>
              <w:rPr>
                <w:b/>
                <w:bCs/>
              </w:rPr>
              <w:t xml:space="preserve">Suit deadline (federal: one year after last furnishing; state: per Little Miller Act)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                                       </w:t>
            </w:r>
          </w:p>
        </w:tc>
      </w:tr>
    </w:tbl>
    <w:p/>
    <w:p>
      <w:pPr>
        <w:pStyle w:val="Heading2"/>
        <w:spacing w:after="120" w:before="280"/>
      </w:pPr>
      <w:r>
        <w:t xml:space="preserve">Step 4 — What the claim notice must contain (Miller Act baseline; add state requirements)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A statement of the </w:t>
      </w:r>
      <w:r>
        <w:rPr>
          <w:b/>
          <w:bCs/>
        </w:rPr>
        <w:t xml:space="preserve">amount claimed</w:t>
      </w:r>
      <w:r>
        <w:rPr>
          <w:b w:val="false"/>
          <w:bCs w:val="false"/>
        </w:rPr>
        <w:t xml:space="preserve"> with substantial accuracy.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The </w:t>
      </w:r>
      <w:r>
        <w:rPr>
          <w:b/>
          <w:bCs/>
        </w:rPr>
        <w:t xml:space="preserve">name of the party to whom the labour or material was furnished</w:t>
      </w:r>
      <w:r>
        <w:rPr>
          <w:b w:val="false"/>
          <w:bCs w:val="false"/>
        </w:rPr>
        <w:t xml:space="preserve"> (your hiring party).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Identification of the project and contract, and a description of the labour or materials supplied, with dates.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A statement that you are looking to the prime contractor and its payment bond for payment.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Your name, address and signature, and a request that the prime confirm receipt.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Attach the statement of account and invoices; copy the </w:t>
      </w:r>
      <w:r>
        <w:rPr>
          <w:b/>
          <w:bCs/>
        </w:rPr>
        <w:t xml:space="preserve">surety</w:t>
      </w:r>
      <w:r>
        <w:rPr>
          <w:b w:val="false"/>
          <w:bCs w:val="false"/>
        </w:rPr>
        <w:t xml:space="preserve"> (address on the bond) and, on state projects, the awarding agency if required.</w:t>
      </w:r>
    </w:p>
    <w:p>
      <w:pPr>
        <w:pStyle w:val="Heading2"/>
        <w:spacing w:after="120" w:before="280"/>
      </w:pPr>
      <w:r>
        <w:t xml:space="preserve">Step 5 — Deliver it so the delivery can be proved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The Miller Act requires the notice to be served by any means that provides </w:t>
      </w:r>
      <w:r>
        <w:rPr>
          <w:b/>
          <w:bCs/>
        </w:rPr>
        <w:t xml:space="preserve">written, third-party verification of delivery</w:t>
      </w:r>
      <w:r>
        <w:rPr>
          <w:b w:val="false"/>
          <w:bCs w:val="false"/>
        </w:rPr>
        <w:t xml:space="preserve"> to the prime contractor at any place it maintains an office or conducts business, or at its residence, or by a U.S. marshal.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In practice: certified mail with return receipt </w:t>
      </w:r>
      <w:r>
        <w:rPr>
          <w:b/>
          <w:bCs/>
        </w:rPr>
        <w:t xml:space="preserve">and</w:t>
      </w:r>
      <w:r>
        <w:rPr>
          <w:b w:val="false"/>
          <w:bCs w:val="false"/>
        </w:rPr>
        <w:t xml:space="preserve"> a courier with signature, plus an emailed PDF the same day.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Keep the tracking and delivery confirmations with a copy of the notice; note the date received, since some deadlines run from receipt.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Send a copy to the surety with a request for its claim form; sureties often require their own proof-of-claim paperwork.</w:t>
      </w:r>
    </w:p>
    <w:p>
      <w:pPr>
        <w:pStyle w:val="Heading2"/>
        <w:spacing w:after="120" w:before="280"/>
      </w:pPr>
      <w:r>
        <w:t xml:space="preserve">Step 6 — After the notice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Respond promptly to the surety's requests for documents (contract, invoices, proof of delivery, lien waivers you have given). Sureties pay documented claims; they litigate vague ones.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Do not sign an unconditional release of bond rights in exchange for a partial payment.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If unpaid, suit on a Miller Act bond must be filed in the U.S. District Court for the district where the contract was performed, no earlier than 90 days after last furnishing and </w:t>
      </w:r>
      <w:r>
        <w:rPr>
          <w:b/>
          <w:bCs/>
        </w:rPr>
        <w:t xml:space="preserve">no later than one year</w:t>
      </w:r>
      <w:r>
        <w:rPr>
          <w:b w:val="false"/>
          <w:bCs w:val="false"/>
        </w:rPr>
        <w:t xml:space="preserve"> after it. State bond suits have their own windows and courts.</w:t>
      </w:r>
    </w:p>
    <w:p>
      <w:pPr>
        <w:spacing w:after="90"/>
        <w:ind w:left="360" w:hanging="360"/>
      </w:pPr>
      <w:r>
        <w:t xml:space="preserve">☐  </w:t>
      </w:r>
      <w:r>
        <w:rPr>
          <w:b w:val="false"/>
          <w:bCs w:val="false"/>
        </w:rPr>
        <w:t xml:space="preserve">Retain an attorney experienced in public-works claims before the suit window is within 60 days.</w:t>
      </w:r>
    </w:p>
    <w:p>
      <w:pPr>
        <w:pBdr>
          <w:left w:val="single" w:color="F59E0B" w:sz="18" w:space="6"/>
        </w:pBdr>
        <w:spacing w:after="120"/>
        <w:ind w:left="200"/>
      </w:pPr>
      <w:r>
        <w:rPr>
          <w:b/>
          <w:bCs/>
        </w:rPr>
        <w:t xml:space="preserve">⚠️ "Last furnishing" is the date everything hangs on.</w:t>
      </w:r>
      <w:r>
        <w:rPr>
          <w:b w:val="false"/>
          <w:bCs w:val="false"/>
        </w:rPr>
        <w:t xml:space="preserve"> Returning to fix punch-list items or perform warranty work generally does not extend it. Track the last day of substantive work or the last delivery, and count the 90 days from there — the notice window closes faster than most invoices get paid.</w:t>
      </w:r>
    </w:p>
    <w:p/>
    <w:p>
      <w:r>
        <w:rPr>
          <w:i/>
          <w:iCs/>
          <w:color w:val="666666"/>
          <w:sz w:val="17"/>
          <w:szCs w:val="17"/>
        </w:rPr>
        <w:t xml:space="preserve">These materials are general-purpose forms and checklists for informational use, not legal advice, and LienWarden is not a law firm. Notice, lien, waiver and bond-claim requirements differ by state and by project type; verify the rules for your project's state (free lookup) and consult an attorney for advice on your situation.</w:t>
      </w:r>
    </w:p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8"/>
        <w:szCs w:val="18"/>
      </w:rPr>
      <w:t xml:space="preserve">LienWarden — lienwarden.com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Bond Claim Checklist for Public Projects (Free)</dc:title>
  <dc:creator>LienWarden</dc:creator>
  <cp:lastModifiedBy>Un-named</cp:lastModifiedBy>
  <cp:revision>1</cp:revision>
  <dcterms:created xsi:type="dcterms:W3CDTF">2026-09-07T14:27:53.596Z</dcterms:created>
  <dcterms:modified xsi:type="dcterms:W3CDTF">2026-09-07T14:27:53.596Z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